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2008/122 vom 23. September 2009</w:t>
      </w:r>
    </w:p>
    <w:p>
      <w:r>
        <w:t>Sg Versicherungsgericht, 2009-09-23, DE</w:t>
      </w:r>
    </w:p>
    <w:p>
      <w:r>
        <w:rPr>
          <w:b/>
        </w:rPr>
        <w:t xml:space="preserve">Quelle: </w:t>
      </w:r>
      <w:r>
        <w:t>https://mcp.opencaselaw.ch/entscheid/sg_publikationen_IV 2008_122</w:t>
      </w:r>
    </w:p>
    <w:p>
      <w:r>
        <w:t>FR: SG_VERSICHERUNGSGERICHT IV 2008/122 du 23 septembre 2009</w:t>
      </w:r>
    </w:p>
    <w:p>
      <w:r>
        <w:t>IT: SG_VERSICHERUNGSGERICHT IV 2008/122 del 23 settembre 2009</w:t>
      </w:r>
    </w:p>
    <w:p>
      <w:pPr>
        <w:pStyle w:val="Heading2"/>
      </w:pPr>
      <w:r>
        <w:t>Regeste</w:t>
      </w:r>
    </w:p>
    <w:p>
      <w:r>
        <w:t>Art. 8 ATSG; Art. 28 Abs. 2 IVG; leichte bis mittelschwere Tätigkeiten gemäss schlüssigem Gutachten der Rehaklinik Bellikon uneingeschränkt zumutbar; Valideneinkommen aufgrund der LSE, da widersprüchliche Lohnangaben in den Akten; zudem keine IK-Einträge ab 1994 bis 2002 und gesundheitliche Beeinträchtigung ab 1. März 2004; Prozentvergleich ohne Leidensabzug; ärztliches Zeugnis nach Verfügungszeitpunkt bleibt vorliegend unbeachtlich (Entscheid des Versicherungsgerichts des Kantons St. Gallen vom 23. September 2009, IV 2008/122).</w:t>
      </w:r>
    </w:p>
    <w:p>
      <w:pPr>
        <w:pStyle w:val="Heading2"/>
      </w:pPr>
      <w:r>
        <w:t>Erwägungen</w:t>
      </w:r>
    </w:p>
    <w:p>
      <w:r>
        <w:rPr>
          <w:b/>
        </w:rPr>
        <w:t>E. 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neues Fenster Erw. 1a mit Hinweisen). 1.2  Streitig und im vorliegenden Verfahren zu überprüfen ist die Invaliditätsbemessung bzw. der geltend gemachte Rentenanspruch des Beschwerdeführers. Nicht Gegenstand des vorliegenden Verfahrens ist ein allfälliger Anspruch des Beschwerdeführers auf Umschulung, welche er mit der zweiten Anmeldung vom 26. Juni 2007 – nebst der Rente – beantragt hat und deren Prüfung im Subeventualantrag der Beschwerde verlangt wird (IV-act. 22-6/8 und act. G 1 S. 2). Diesbezüglich bringt die Beschwerdegegnerin vor, dass sie über das Gesuch um Umschulung mit einer anfechtbaren Verfügung erst noch zu entscheiden habe (act. G 7 S. 6 Ziff. 5). Tatsächlich hat die vorliegend angefochtene Verfügung vom 23. Januar 2008 nur die Rentenfrage zum Gegenstand. Da somit die Abklärungen im Hinblick auf eine allfällige Umschulung offenbar noch nicht abgeschlossen sind und dazu auch noch keine Verfügung ergangen ist, fehlt es diesbezüglich an einem Anfechtungsgegenstand. Die Beschwerdegegnerin wird darüber nach erfolgten Abklärungen erst noch zu befinden haben, worauf sie in ihrer Beschwerdeantwort denn auch ausdrücklich verweist.</w:t>
      </w:r>
    </w:p>
    <w:p>
      <w:r>
        <w:rPr>
          <w:b/>
        </w:rPr>
        <w:t>E. 2</w:t>
      </w:r>
    </w:p>
    <w:p>
      <w:r>
        <w:t>2.1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w:t>
      </w:r>
    </w:p>
    <w:p>
      <w:r>
        <w:rPr>
          <w:b/>
        </w:rPr>
        <w:t>E. 3</w:t>
      </w:r>
    </w:p>
    <w:p>
      <w:r>
        <w:t>3.1  Die Beschwerdegegnerin stellte in der Beurteilung des Leistungsanspruchs auf die Einschätzungen im neurologischen Gutachten der Rehaklinik Bellikon vom 23. Juni 2006 und den verschiedenen Teilgutachten ab. Dabei konnten aus neurologischer Sicht keine Verletzungen des zentralen oder des peripheren Nervensystems festgestellt werden, welche die vom Beschwerdeführer geklagten kognitiven Beeinträchtigungen oder eine Sensibilitätsstörung im Bereich der Arme und Beine erklären könnten. Auch konnten keine spezifischen neuropsychologischen Störungen festgestellt werden, wohl aber eine herabgesetzte und schwankende kognitive Belastbarkeit. Aus psychiatrischer Sicht ergab sich kein klarer störungsspezifischer Ansatz, um die Defizite zu erklären. Insbesondere liege keine dissoziative Störung als Grundlage für die vom Versicherten angegebenen "Aussetzer" im Gespräch vor. Bestätigt werden könne eine Fehlbewältigung im Sinne einer Selbstlimitierung (Symptomausweitung). Den Hintergrund dazu bilde eine auffällige Persönlichkeit mit deutlich narzisstischen Zügen. Daraus ergebe sich jedoch aus psychiatrischer Sicht keine Einschränkung der psychischen Zumutbarkeit. Psychiatrisch sei es daher dem Versicherten zuzumuten, auf einem bedeutend besseren Aktivitätsniveau zu funktionieren. Im traumatologischen Teilgutachten wurde ausgeführt, dass die aktiv erhobenen Befunde nicht mit der präsentierten praktischen Unbeweglichkeit der HWS (stiff neck) korrelieren würden. Bei dieser massiven Einschränkung sei ein weit verspannterer Nacken (Muskelhartspann) zu erwarten. Hinsichtlich der degenerativen Veränderungen im Bereich der HWS wurde insbesondere festgehalten, dass diese das Ausmass in Bezug auf das Alter zwar übersteigen, jedoch nicht unter Berücksichtigung der durchgeführten Spondylodese C4-6. Gelegentliche Zervikalgien und gelegentliche Behandlungsphasen seien aufgrund der organischen Befunde durchaus erklärbar. Das heutige Ausmass mit einem invalidisierenden Schmerzsyndrom lasse sich aufgrund der organisch erhebbaren Befunde im HWS-Bereich aber keineswegs erklären. In der handchirurgischen Stellungnahme wurde schliesslich in Bezug auf den Status nach dem Unfall vom 1. März 2004 mit Einklemmung der linken Hand ausgeführt, dass dem Versicherten aus rein handchirurgischer Sicht grundsätzlich alle altersentsprechenden Tätigkeiten ganztägig möglich seien (jedoch mit folgenden Einschränkungen in Bezug auf die linke Hand: keine erhöhten Anforderungen an die Feinmotorik, keine Schläge oder Vibrationen, keine exquisite Kälte- oder erhöhte Hitzeexposition sowie keine Tätigkeiten auf Leitern oder Gerüsten). In der interdisziplinären Zusammenfassung wurde im Gutachten in Bezug auf die Arbeitsfähigkeit ausgeführt, dass dem Versicherten die Tätigkeit als Teppichhändler ganztags voll zumutbar sei. Auch auf dem allgemeinen Arbeitsmarkt sei ihm bei mittelschweren Tätigkeiten eine volle Arbeitsfähigkeit zumutbar. Die einzige Einschränkung ergebe sich dadurch, dass Gewichte über 10 kg nicht repetitiv gehoben oder getragen werden können. Zudem sei mit gewissen zervikalbedingten Absenzen im Verlauf eines Jahres zu rechnen (vgl. Fremdakten Suva, Gutachten Rehaklink Bellikon vom 23. Juni 2006, S. 17). 3.2  Das polydisziplinäre Gutachten der Rehaklinik Bellikon stützt seine Beurteilung auf die Vorakten, auf die eigene persönliche Befragung des Beschwerdeführers und die eigenen neurologischen, neuropsychologischen, psychiatrischen, chirurgisch-traumatologischen sowie handchirurgischen Untersuchungen im April 2006.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Es sind keine Gründe ersichtlich, weshalb nicht auf dieses Gutachten abgestellt werden sollte. 3.3  Daran vermögen auch die vom Beschwerdeführer geltend gemachten Einwendungen nichts zu ändern. Es mag wohl zutreffen, dass der Beschwerdeführer als Inhaber der A.___ AG und deren alleiniger Arbeitnehmer nicht nur die eigentliche Geschäftsführung besorgte, sondern beim Ausliefern von Teppichen auch Gewichte von über 10 kg zu heben hatte. Vor dem Hintergrund, dass der Beschwerdeführer gemäss Gutachten keine Gewichte über 10 kg repetitiv heben oder tragen sollte, ist er für diesen Teil seiner früher ausgeübten Tätigkeit nicht mehr uneingeschränkt arbeitsfähig. Die Beurteilung der Arbeitsfähigkeit in der früheren Tätigkeit bezog sich gemäss Fragestellung im Gutachten jedoch hauptsächlich auf diejenige als selbständiger Geschäftsführer einer Import- und Exportfirma für Teppiche und Schmuck (vgl. IV-act. 40-38/49 Ziff. 8 und act. 40-40/49 Ziff. 7.1), worunter nicht notwendigerweise auch das häufige Heben und Tragen von schweren Teppichen fällt. Doch bezieht sich die im Gutachten erwähnte gesundheitliche Einschränkung bei mittelschweren Tätigkeiten klarerweise auch auf die frühere Tätigkeit des Beschwerdeführers, sofern diese eben auch die geltend gemachten körperlich schwereren Arbeiten umfasste. Entscheidend im vorliegenden Verfahren ist jedoch vielmehr, dass dem Beschwerdeführer, welcher seine Tätigkeiten in der A.___ AG seit Jahren nicht mehr ausübt, sämtliche körperlich mittelschweren Tätigkeiten ohne repetitives Heben und Tragen von Lasten über 10 kg vollumfänglich zumutbar sind und ihm somit medizinisch-theoretisch auf dem ausgeglichenen Arbeitsmarkt ein weites Feld von Beschäftigungsmöglichkeiten offen bleibt. An dieser Einschätzung ändert auch der Bericht von Dr. D.___, bei welchem der Beschwerdeführer offenbar seit dem 16. Dezember 2006 in psychiatrisch-psychotherapeutischer sowie in Akupunkturbehandlung ist, nichts. In diesem Bericht vom 8. Januar 2008 wird weder eine psychiatrische Diagnose gestellt noch wird eine relevante Veränderung des psychischen Zustandes seit der Begutachtung durch die Rehaklinik Bellikon begründet. Zudem wird erwähnt, dass es sich bei den gesundheitlichen Problemen des Beschwerdeführers überwiegend um multiple körperliche Beschwerden mit erheblicher psychogener Überlagerung handle (IV-act. 34-1/2). Diesbezüglich wurde bereits im psychiatrischen Teilgutachten der Rehaklinik Bellikon von einer Fehlbewältigung im Sinne einer Selbstlimitierung bzw. einer Symptomausweitung vor dem Hintergrund einer auffälligen Persönlichkeit mit deutlich narzisstischen Zügen gesprochen (Fremdakten Suva, psychiatrischer Abklärungsbericht S. 11; vgl. auch psychosomatisches Konsilium vom 15. Juni 2005, IV-act. 17-13ff./16). Jedoch ergab die psychiatrische Begutachtung keine Einschränkung der Arbeitsfähigkeit. Jedenfalls besteht keine Veranlassung, aufgrund der unterschiedlichen Beurteilung der Arbeitsfähigkeit durch den behandelnden Psychiater von der Einschätzung im ausführlichen Gutachten der Rehaklinik Bellikon abzuweichen. Zudem drängt es sich beim Vorliegen von somatischen und psychischen Beschwerden auf, die Arbeitsfähigkeit im Rahmen einer interdisziplinären Gesamtbeurteilung zu bestimmen, wie dies vorliegend geschehen ist. 3.4   Zusammenfassend ist in Übereinstimmung mit der Beschwerdegegnerin und aufgrund des polydisziplinären Gutachtens der Rehaklinik Bellikon vom 23. Juni 2006 von einer vollen Arbeitsfähigkeit in einer körperlich leichten bis mittelschweren Tätigkeit ohne repetitives Heben und Tragen von Lasten über 10 kg auszugehen.</w:t>
      </w:r>
    </w:p>
    <w:p>
      <w:r>
        <w:rPr>
          <w:b/>
        </w:rPr>
        <w:t>E. 4</w:t>
      </w:r>
    </w:p>
    <w:p>
      <w:r>
        <w:t>4.1  Die Ermittlung der Erwerbsunfähigkeit und damit des Invaliditätsgrades erfolgt durch den Vergleich des Einkommens, das der Versicherte erzielen würde, wenn der versicherte Gesundheitsschaden nicht eingetreten wäre, mit jenem, das er als Invalider erzielen könnte. Die Beschwerdegegnerin hat zwar keinen konkreten Einkommensvergleich vorgenommen. Die nachfolgenden Erwägungen zeigen jedoch, dass sich auch mit einem Einkommensvergleich nichts am Ergebnis der rentenabweisenden Verfügung ändert. 4.2  Die Festlegung des Valideneinkommens ist aufgrund des Umstandes, dass diesbezüglich keine verlässliche Einkommensbasis zur Verfügung steht, gestützt auf die schweizerische Lohnstrukturerhebung des Bundesamtes für Statistik (LSE) vorzunehmen. Denn einerseits weist das individuelle Konto der AHV nach einem letzten Eintrag für das Jahr 1993 erst wieder Einträge für die Jahre 2003 und 2004 aus (IV-act. 6). Offenbar hielt sich der Beschwerdeführer in der Zwischenzeit bis zur Gründung der A.___ AG im Mai 2003 mehrheitlich in der Türkei auf (vgl. Fremdakten Suva, psychiatrischer Abklärungsbericht vom 26. April 2006, S. 7 und 9). Andererseits hat der Beschwerdeführer nach eigenen Angaben nach dem ersten Unfall am 1. März 2004 – mit Ausnahme von rund zwei Wochen im Mai 2004 – bis zum zweiten Unfall am 1. August 2004 und auch danach nicht mehr arbeiten können (IV-act. 17-14/16 unten; vgl. auch IV-act. 22-5/8 und act. 17-1/16). Demzufolge resultiert das für das Jahr 2004 deklarierte Einkommen hauptsächlich nicht aus einer ausgeübten Erwerbstätigkeit, sondern stellt Ersatzeinkommen dar, welches nicht als Valideneinkommen herangezogen werden kann. Im Übrigen sind die Lohnangaben auch widersprüchlich. So wurde gemäss IK-Auszug für das Jahr 2003 eine Lohnsumme von Fr. 45'000.00 deklariert. Auf dem Fragenbogen für Arbeitgeber hingegen wurde einerseits für 2003 eine Lohnsumme von insgesamt Fr. 49'500.00 (ab Mai 2003) und andererseits ein AHV-pflichtiger Lohn ab 31. Mai 2003 von monatlich Fr. 9'208.00 angegeben (IV-act. 13-2/5, Ziff. 12 und 20). Unter den vorliegenden Umständen ist daher für die Berechnung des hypothetischen Valideneinkommens nicht auf diese widersprüchlichen und unterschiedlichen Lohnangaben, sondern auf die Löhne gemäss Lohnstrukturerhebung (LSE) abzustellen. 4.3  Das in Ausübung einer im erwähnten Sinne zumutbaren Tätigkeit erzielbare Einkommen lässt sich praxisgemäss ebenfalls gestützt auf die der Lohnstrukturerhebung zu entnehmenden Tabellenlöhne ermitteln (BGE 126 V 76 f. E. 3b/aa). Das Invalideneinkommen ist daher wie das 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des Abzuges vom Tabellenlohn (sogenannter Prozentvergleich; SVR 1/2008 IV Nr. 2 S. 3 E. 5.4). Hinsichtlich der Bestimmung des Validen- und Invalideneinkommens bestehen vorliegend insbesondere auch im Hinblick auf die Höhe der im IK-Auszug ausgewiesenen früheren Einkommen keine Anhaltspunkte, die ein Abstellen auf unterschiedliche Tabellenlöhne rechtfertigen. Der Invaliditätsgrad ist somit anhand eines Prozentvergleichs vorzunehmen. 4.4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Nachdem dem Beschwerdeführer sämtliche körperlich leichten bis mittelschweren Tätigkeiten (ohne repetitives Heben und Tragen von Gewichten über 10 kg) uneingeschränkt zumutbar sind, besteht vorliegend kein Anlass für einen Leidensabzug. Im Übrigen würde selbst bei einem entsprechenden Abzug kein IV-Grad im rentenrelevanten Ausmass resultieren.</w:t>
      </w:r>
    </w:p>
    <w:p>
      <w:r>
        <w:rPr>
          <w:b/>
        </w:rPr>
        <w:t>E. 5</w:t>
      </w:r>
    </w:p>
    <w:p>
      <w:r>
        <w:t>5.1  Schliesslich ist darauf hinzuweisen, dass für die richterliche Beurteilung grundsätzlich die tatsächlichen Verhältnisse zur Zeit des Abschlusses des Verwaltungsverfahrens (hier: Verfügung vom 23. Januar 2008) massgebend sind (BGE 116 V 248 E. 1a; Urteil des Bundesgerichts vom 3. Januar 2005, I 172/04, E.5.2 und vom 27. Mai 2008, 9C_24/2008, E. 2.3.1). Die vom Beschwerdeführer nach diesem Zeitpunkt eingereichten Unterlagen und damit geltend gemachten Tatsachen sind daher insofern im vorliegenden Verfahren unbeachtlich, als sie nicht mit dem Streitgegenstand in engem Sachzusammenhang stehen und geeignet sind, die Beurteilung im Zeitpunkt des Erlasses der strittigen Verfügung zu beeinflussen (BGE 121 V 362 E. 1b S. 366). 5.2  Das ärztliche Zeugnis vom 28. Februar 2008, in welchem lediglich Diagnosen aufgeführt werden und keinerlei Angaben zu deren zeitlicher Relevanz enthalten sind, ist nach dem Gesagten für das vorliegende Verfahren unbeachtlich (IV-act. 40-47/49). Sollte sich der Gesundheitszustand des Beschwerdeführers seit dem Erlass der Verfügung vom 23. Januar 2008 relevant verschlechtert haben, so steht es ihm frei, ein neues Leistungsbegehren zu stellen.</w:t>
      </w:r>
    </w:p>
    <w:p>
      <w:r>
        <w:rPr>
          <w:b/>
        </w:rPr>
        <w:t>E. 6</w:t>
      </w:r>
    </w:p>
    <w:p>
      <w:r>
        <w:t>6.1  Die angefochtene Verfügung vom 23. Januar 2008 ist im Ergebnis nicht zu beanstanden, weshalb die Beschwerde abzuweisen ist. 6.2  Dem Beschwerdeführer wurde die unentgeltliche Rechtspflege und Rechtsverbeiständung am 29. Mai 2008 bewilligt (act. G 11). Wenn die wirtschaftlichen Verhältnisse des Beschwerdeführers es gestatten, kann er jedoch zur Nachzahlung der Gerichtskosten, der Auslagen für die Vertretung und der vom Staat entschädigten Parteikosten verpflichtet werden (Art. 288 Abs. 1 ZPO/SG i.V.m. Art. 99 Abs. 2 VRP/SG). 6.3  Dem unterliegenden Beschwerdeführer sind die Gerichtskosten in der Höhe von Fr. 600.-- aufzuerlegen. Zufolge unentgeltlicher Rechtspflege ist er von der Bezahlung zu befreien. 6.4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Der Rechtsvertreter des Beschwerdeführers verzichtete auf das Einreichen einer Kostennote. Im vorliegenden Fall erscheint eine Parteientschädigung von Fr. 2'800.-- (80% von Fr. 3'500.--; inkl. Barauslagen und Mehrwertsteuer) als angemessen. Demgemäss hat das Versicherungsgericht im Zirkulationsverfahren gemäss Art. 53 GerG entschieden: 1. Der Beschwerde wird abgewiesen. 2. Der Beschwerdeführer wird im Sinne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